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presentatie 1e bijeenkomst klankbordgroep fusie 9 januari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notitie betrokkenheid raden Beemster  en Purmerend bij fusieproces versie december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263,70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Vergaderingen/Klankbordgroep-fusie/2019/09-januari/19:30/presentatie-1e-bijeenkomst-klankbordgroep-fusie-9-januari-2019.pdf" TargetMode="External" /><Relationship Id="rId26" Type="http://schemas.openxmlformats.org/officeDocument/2006/relationships/hyperlink" Target="https://beemsterraadsinformatie.purmerend.nl/Vergaderingen/Klankbordgroep-fusie/2019/09-januari/19:30/notitie-betrokkenheid-raden-Beemster-en-Purmerend-bij-fusieproces-versie-december-20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