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presentatie 1e bijeenkomst klankbordgroep fusie 9 januari 2019
              <text:span text:style-name="T2"/>
            </text:p>
            <text:p text:style-name="P3"/>
          </table:table-cell>
          <table:table-cell table:style-name="Table3.A2" office:value-type="string">
            <text:p text:style-name="P4">10-01-2019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444,96 KB</text:p>
          </table:table-cell>
          <table:table-cell table:style-name="Table3.A2" office:value-type="string">
            <text:p text:style-name="P22">
              <text:a xlink:type="simple" xlink:href="https://beemsterraadsinformatie.purmerend.nl/Vergaderingen/Klankbordgroep-fusie/2019/09-januari/19:30/presentatie-1e-bijeenkomst-klankbordgroep-fusie-9-januari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notitie betrokkenheid raden Beemster 
              <text:s/>
              en Purmerend bij fusieproces versie december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04-01-2019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263,70 KB</text:p>
          </table:table-cell>
          <table:table-cell table:style-name="Table3.A2" office:value-type="string">
            <text:p text:style-name="P22">
              <text:a xlink:type="simple" xlink:href="https://beemsterraadsinformatie.purmerend.nl/Vergaderingen/Klankbordgroep-fusie/2019/09-januari/19:30/notitie-betrokkenheid-raden-Beemster-en-Purmerend-bij-fusieproces-versie-december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9" meta:character-count="317" meta:non-whitespace-character-count="2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